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F9304">
      <w:pPr>
        <w:pStyle w:val="10"/>
        <w:ind w:left="0" w:leftChars="0" w:firstLine="0" w:firstLineChars="0"/>
        <w:rPr>
          <w:rFonts w:hint="default" w:ascii="Times New Roman" w:hAnsi="Times New Roman" w:eastAsia="仿宋_GB2312" w:cs="Times New Roman"/>
          <w:b w:val="0"/>
          <w:bCs w:val="0"/>
          <w:color w:val="auto"/>
          <w:sz w:val="32"/>
          <w:szCs w:val="32"/>
          <w:highlight w:val="none"/>
        </w:rPr>
      </w:pPr>
    </w:p>
    <w:p w14:paraId="2BF40CAC">
      <w:pPr>
        <w:pStyle w:val="4"/>
        <w:rPr>
          <w:rFonts w:hint="default" w:ascii="Times New Roman" w:hAnsi="Times New Roman" w:eastAsia="仿宋_GB2312" w:cs="Times New Roman"/>
          <w:b w:val="0"/>
          <w:bCs w:val="0"/>
          <w:color w:val="auto"/>
          <w:sz w:val="32"/>
          <w:szCs w:val="32"/>
          <w:highlight w:val="none"/>
        </w:rPr>
      </w:pPr>
    </w:p>
    <w:p w14:paraId="6BF5CD96">
      <w:pPr>
        <w:pStyle w:val="3"/>
        <w:rPr>
          <w:rFonts w:hint="default" w:ascii="Times New Roman" w:hAnsi="Times New Roman" w:eastAsia="仿宋_GB2312" w:cs="Times New Roman"/>
          <w:b w:val="0"/>
          <w:bCs w:val="0"/>
          <w:color w:val="auto"/>
          <w:sz w:val="32"/>
          <w:szCs w:val="32"/>
          <w:highlight w:val="none"/>
        </w:rPr>
      </w:pPr>
    </w:p>
    <w:p w14:paraId="69651013">
      <w:pPr>
        <w:pStyle w:val="8"/>
        <w:rPr>
          <w:rFonts w:hint="default" w:ascii="Times New Roman" w:hAnsi="Times New Roman" w:eastAsia="仿宋_GB2312" w:cs="Times New Roman"/>
          <w:b w:val="0"/>
          <w:bCs w:val="0"/>
          <w:color w:val="auto"/>
          <w:sz w:val="32"/>
          <w:szCs w:val="32"/>
          <w:highlight w:val="none"/>
        </w:rPr>
      </w:pPr>
    </w:p>
    <w:p w14:paraId="0B911EE6">
      <w:pPr>
        <w:pStyle w:val="10"/>
        <w:ind w:left="0" w:leftChars="0" w:firstLine="0" w:firstLineChars="0"/>
        <w:jc w:val="both"/>
        <w:rPr>
          <w:rFonts w:hint="default" w:ascii="Times New Roman" w:hAnsi="Times New Roman" w:eastAsia="仿宋_GB2312" w:cs="Times New Roman"/>
          <w:b w:val="0"/>
          <w:bCs w:val="0"/>
          <w:color w:val="auto"/>
          <w:sz w:val="32"/>
          <w:szCs w:val="32"/>
          <w:highlight w:val="none"/>
        </w:rPr>
      </w:pPr>
    </w:p>
    <w:p w14:paraId="4FF848B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val="0"/>
          <w:bCs w:val="0"/>
          <w:sz w:val="32"/>
          <w:szCs w:val="32"/>
          <w:lang w:bidi="ar-SA"/>
        </w:rPr>
      </w:pPr>
      <w:r>
        <w:rPr>
          <w:rFonts w:hint="default" w:ascii="Times New Roman" w:hAnsi="Times New Roman" w:eastAsia="仿宋_GB2312" w:cs="Times New Roman"/>
          <w:b w:val="0"/>
          <w:bCs w:val="0"/>
          <w:sz w:val="32"/>
          <w:szCs w:val="32"/>
          <w:lang w:bidi="ar-SA"/>
        </w:rPr>
        <w:t>双宝环审〔202</w:t>
      </w:r>
      <w:r>
        <w:rPr>
          <w:rFonts w:hint="default" w:ascii="Times New Roman" w:hAnsi="Times New Roman" w:eastAsia="仿宋_GB2312" w:cs="Times New Roman"/>
          <w:b w:val="0"/>
          <w:bCs w:val="0"/>
          <w:sz w:val="32"/>
          <w:szCs w:val="32"/>
          <w:lang w:val="en-US" w:eastAsia="zh-CN" w:bidi="ar-SA"/>
        </w:rPr>
        <w:t>5</w:t>
      </w:r>
      <w:r>
        <w:rPr>
          <w:rFonts w:hint="default" w:ascii="Times New Roman" w:hAnsi="Times New Roman" w:eastAsia="仿宋_GB2312" w:cs="Times New Roman"/>
          <w:b w:val="0"/>
          <w:bCs w:val="0"/>
          <w:sz w:val="32"/>
          <w:szCs w:val="32"/>
          <w:lang w:bidi="ar-SA"/>
        </w:rPr>
        <w:t>〕</w:t>
      </w:r>
      <w:r>
        <w:rPr>
          <w:rFonts w:hint="eastAsia" w:ascii="Times New Roman" w:hAnsi="Times New Roman" w:eastAsia="仿宋_GB2312" w:cs="Times New Roman"/>
          <w:b w:val="0"/>
          <w:bCs w:val="0"/>
          <w:sz w:val="32"/>
          <w:szCs w:val="32"/>
          <w:lang w:val="en-US" w:eastAsia="zh-CN" w:bidi="ar-SA"/>
        </w:rPr>
        <w:t>11</w:t>
      </w:r>
      <w:bookmarkStart w:id="0" w:name="_GoBack"/>
      <w:bookmarkEnd w:id="0"/>
      <w:r>
        <w:rPr>
          <w:rFonts w:hint="default" w:ascii="Times New Roman" w:hAnsi="Times New Roman" w:eastAsia="仿宋_GB2312" w:cs="Times New Roman"/>
          <w:b w:val="0"/>
          <w:bCs w:val="0"/>
          <w:sz w:val="32"/>
          <w:szCs w:val="32"/>
          <w:lang w:bidi="ar-SA"/>
        </w:rPr>
        <w:t>号</w:t>
      </w:r>
    </w:p>
    <w:p w14:paraId="4366C8F3">
      <w:pPr>
        <w:keepNext w:val="0"/>
        <w:keepLines w:val="0"/>
        <w:pageBreakBefore w:val="0"/>
        <w:kinsoku/>
        <w:wordWrap/>
        <w:overflowPunct/>
        <w:topLinePunct w:val="0"/>
        <w:autoSpaceDE/>
        <w:autoSpaceDN/>
        <w:bidi w:val="0"/>
        <w:adjustRightInd/>
        <w:snapToGrid/>
        <w:spacing w:line="576" w:lineRule="exact"/>
        <w:jc w:val="left"/>
        <w:textAlignment w:val="auto"/>
        <w:rPr>
          <w:rFonts w:hint="default" w:ascii="Times New Roman" w:hAnsi="Times New Roman" w:eastAsia="仿宋" w:cs="Times New Roman"/>
          <w:sz w:val="32"/>
          <w:szCs w:val="21"/>
          <w:lang w:bidi="ar-SA"/>
        </w:rPr>
      </w:pPr>
    </w:p>
    <w:p w14:paraId="4734219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Cs/>
          <w:kern w:val="0"/>
          <w:sz w:val="44"/>
          <w:szCs w:val="44"/>
          <w:lang w:val="en-US" w:eastAsia="zh-CN" w:bidi="ar-SA"/>
        </w:rPr>
      </w:pPr>
      <w:r>
        <w:rPr>
          <w:rFonts w:hint="default" w:ascii="Times New Roman" w:hAnsi="Times New Roman" w:eastAsia="方正小标宋简体" w:cs="Times New Roman"/>
          <w:bCs/>
          <w:kern w:val="0"/>
          <w:sz w:val="44"/>
          <w:szCs w:val="44"/>
          <w:lang w:val="en-US" w:eastAsia="zh-CN" w:bidi="ar-SA"/>
        </w:rPr>
        <w:t>关于宝清城北振兴粮食储备有限责任公司改扩建项目环境影响报告表的批复</w:t>
      </w:r>
    </w:p>
    <w:p w14:paraId="140D16FF">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64" w:firstLineChars="200"/>
        <w:jc w:val="both"/>
        <w:textAlignment w:val="auto"/>
        <w:outlineLvl w:val="9"/>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pPr>
    </w:p>
    <w:p w14:paraId="46C3893E">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宝清城北振兴粮食储备有限责任公司：</w:t>
      </w:r>
    </w:p>
    <w:p w14:paraId="5322BC7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val="en-US" w:eastAsia="zh-CN"/>
        </w:rPr>
        <w:t>你单位报送的《关于申请审批宝清城北振兴粮食储备有限责任公司改扩建项目环境影响评价文件的函》及相关材料收悉。经研究，批复如下。</w:t>
      </w:r>
    </w:p>
    <w:p w14:paraId="20E4B87A">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64" w:firstLineChars="200"/>
        <w:jc w:val="both"/>
        <w:textAlignment w:val="auto"/>
        <w:outlineLvl w:val="9"/>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一、项目基本情况</w:t>
      </w:r>
    </w:p>
    <w:p w14:paraId="41A18725">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64" w:firstLineChars="200"/>
        <w:jc w:val="both"/>
        <w:textAlignment w:val="auto"/>
        <w:outlineLvl w:val="9"/>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该项目位于双鸭山市宝清县宝清镇城北1公里处。建设性质为改扩建，厂区占地面积</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100952.04m</w:t>
      </w:r>
      <w:r>
        <w:rPr>
          <w:rFonts w:hint="default" w:ascii="Times New Roman" w:hAnsi="Times New Roman" w:eastAsia="仿宋_GB2312" w:cs="Times New Roman"/>
          <w:color w:val="000000" w:themeColor="text1"/>
          <w:spacing w:val="6"/>
          <w:sz w:val="32"/>
          <w:szCs w:val="32"/>
          <w:vertAlign w:val="superscript"/>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。主要建设内容为新建</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座平房仓、</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座灰渣储存间、</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座烘干塔办公室、</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座材料室、</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座装载机车库，拆除现有</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座</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500t/d</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烘干塔和配套</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台</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10t/h</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燃生物质热风炉，建设</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座设计处理能力</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1000t/d</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的烘干塔，配套</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台</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20t/h</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燃生物质热风炉，年烘干玉米</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万t、水稻</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0.5</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万</w:t>
      </w:r>
      <w:r>
        <w:rPr>
          <w:rFonts w:hint="default" w:ascii="Times New Roman" w:hAnsi="Times New Roman" w:eastAsia="仿宋_GB2312" w:cs="Times New Roman"/>
          <w:sz w:val="32"/>
          <w:szCs w:val="32"/>
          <w:lang w:val="en-US" w:eastAsia="zh-CN"/>
        </w:rPr>
        <w:t>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。该项目总投资9992.8万元，其中环保投资28万元。我局原则同意你单位环境影响报告表中所列的建设项目的性质、规模、工艺、地点和环境保护对策措施。</w:t>
      </w:r>
    </w:p>
    <w:p w14:paraId="61F9CB01">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64" w:firstLineChars="200"/>
        <w:jc w:val="both"/>
        <w:textAlignment w:val="auto"/>
        <w:outlineLvl w:val="9"/>
        <w:rPr>
          <w:rFonts w:hint="default" w:ascii="Times New Roman" w:hAnsi="Times New Roman" w:eastAsia="仿宋_GB2312" w:cs="Times New Roman"/>
          <w:b w:val="0"/>
          <w:bCs w:val="0"/>
          <w:i w:val="0"/>
          <w:caps w:val="0"/>
          <w:color w:val="000000" w:themeColor="text1"/>
          <w:spacing w:val="6"/>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6"/>
          <w:sz w:val="32"/>
          <w:szCs w:val="32"/>
          <w:highlight w:val="none"/>
          <w:shd w:val="clear" w:color="auto" w:fill="FFFFFF"/>
          <w14:textFill>
            <w14:solidFill>
              <w14:schemeClr w14:val="tx1"/>
            </w14:solidFill>
          </w14:textFill>
        </w:rPr>
        <w:t>二、项目建设和运行管理中应重点做好以下工作</w:t>
      </w:r>
    </w:p>
    <w:p w14:paraId="2DC6B8EE">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64" w:firstLineChars="200"/>
        <w:jc w:val="both"/>
        <w:textAlignment w:val="auto"/>
        <w:outlineLvl w:val="9"/>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6"/>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6"/>
          <w:sz w:val="32"/>
          <w:szCs w:val="32"/>
          <w:highlight w:val="none"/>
          <w:shd w:val="clear" w:color="auto" w:fill="FFFFFF"/>
          <w:lang w:val="en-US" w:eastAsia="zh-CN"/>
          <w14:textFill>
            <w14:solidFill>
              <w14:schemeClr w14:val="tx1"/>
            </w14:solidFill>
          </w14:textFill>
        </w:rPr>
        <w:t>一</w:t>
      </w:r>
      <w:r>
        <w:rPr>
          <w:rFonts w:hint="default" w:ascii="Times New Roman" w:hAnsi="Times New Roman" w:eastAsia="仿宋_GB2312" w:cs="Times New Roman"/>
          <w:b w:val="0"/>
          <w:bCs w:val="0"/>
          <w:i w:val="0"/>
          <w:caps w:val="0"/>
          <w:color w:val="000000" w:themeColor="text1"/>
          <w:spacing w:val="6"/>
          <w:sz w:val="32"/>
          <w:szCs w:val="32"/>
          <w:highlight w:val="none"/>
          <w:shd w:val="clear" w:color="auto" w:fill="FFFFFF"/>
          <w14:textFill>
            <w14:solidFill>
              <w14:schemeClr w14:val="tx1"/>
            </w14:solidFill>
          </w14:textFill>
        </w:rPr>
        <w:t>）严格落实各项大气污染防治措施</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。该项目施工期施工现场设置围栏，对运输的道路及时洒水抑尘，采用封闭车辆运输，厂界无组织排放粉尘浓度应满足《大气污染物综合排放标准》（GB16297-1996）无组织排放监控浓度限值要求。</w:t>
      </w:r>
      <w:r>
        <w:rPr>
          <w:rFonts w:hint="default" w:ascii="Times New Roman" w:hAnsi="Times New Roman" w:eastAsia="仿宋_GB2312" w:cs="Times New Roman"/>
          <w:b w:val="0"/>
          <w:bCs w:val="0"/>
          <w:color w:val="000000" w:themeColor="text1"/>
          <w:spacing w:val="6"/>
          <w:sz w:val="32"/>
          <w:szCs w:val="32"/>
          <w:lang w:val="en-US" w:eastAsia="zh-CN"/>
          <w14:textFill>
            <w14:solidFill>
              <w14:schemeClr w14:val="tx1"/>
            </w14:solidFill>
          </w14:textFill>
        </w:rPr>
        <w:t>该项目运营期的生物质热风炉烟气经布袋除尘器处理后经20m排气筒排放，烟气中的二氧化硫、颗粒物和林格曼黑度等应符合《工业炉窑大气污染物排放标准》（GB9078-1996）要求。该项目粮食输送传送带封闭设置，烘干塔塔体两侧排气孔设置折流挡板，塔顶排气孔设滤尘网等，采取上述措施后，厂界颗粒物无组织排放浓度应符合</w:t>
      </w:r>
      <w:r>
        <w:rPr>
          <w:rFonts w:hint="default" w:ascii="Times New Roman" w:hAnsi="Times New Roman" w:eastAsia="仿宋_GB2312" w:cs="Times New Roman"/>
          <w:b w:val="0"/>
          <w:bCs w:val="0"/>
          <w:color w:val="000000" w:themeColor="text1"/>
          <w:spacing w:val="6"/>
          <w:sz w:val="32"/>
          <w:szCs w:val="32"/>
          <w:lang w:val="zh-CN" w:eastAsia="zh-CN"/>
          <w14:textFill>
            <w14:solidFill>
              <w14:schemeClr w14:val="tx1"/>
            </w14:solidFill>
          </w14:textFill>
        </w:rPr>
        <w:t>《大气污染物</w:t>
      </w:r>
      <w:r>
        <w:rPr>
          <w:rFonts w:hint="default" w:ascii="Times New Roman" w:hAnsi="Times New Roman" w:eastAsia="仿宋_GB2312" w:cs="Times New Roman"/>
          <w:color w:val="000000" w:themeColor="text1"/>
          <w:spacing w:val="6"/>
          <w:sz w:val="32"/>
          <w:szCs w:val="32"/>
          <w:lang w:val="zh-CN" w:eastAsia="zh-CN"/>
          <w14:textFill>
            <w14:solidFill>
              <w14:schemeClr w14:val="tx1"/>
            </w14:solidFill>
          </w14:textFill>
        </w:rPr>
        <w:t>综合排放标准》（GB16297-1996）</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要求。</w:t>
      </w:r>
    </w:p>
    <w:p w14:paraId="1DFFE161">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64" w:firstLineChars="200"/>
        <w:textAlignment w:val="auto"/>
        <w:rPr>
          <w:rFonts w:hint="default" w:ascii="Times New Roman" w:hAnsi="Times New Roman" w:eastAsia="仿宋_GB2312" w:cs="Times New Roman"/>
          <w:b w:val="0"/>
          <w:bCs w:val="0"/>
          <w:i w:val="0"/>
          <w:caps w:val="0"/>
          <w:color w:val="000000" w:themeColor="text1"/>
          <w:spacing w:val="6"/>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6"/>
          <w:sz w:val="32"/>
          <w:szCs w:val="32"/>
          <w:highlight w:val="none"/>
          <w:shd w:val="clear" w:color="auto" w:fill="FFFFFF"/>
          <w:lang w:val="en-US" w:eastAsia="zh-CN"/>
          <w14:textFill>
            <w14:solidFill>
              <w14:schemeClr w14:val="tx1"/>
            </w14:solidFill>
          </w14:textFill>
        </w:rPr>
        <w:t>严格落实各项水污染防治措施。该项目施工期生活污水排入防渗旱厕，施工作业和冲洗车辆产生的废水沉淀后用于场地内洒水抑尘。该项目运营期生活污水排入防渗旱厕，定期清掏，外运堆肥。</w:t>
      </w:r>
    </w:p>
    <w:p w14:paraId="0A35FB96">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64" w:firstLineChars="200"/>
        <w:textAlignment w:val="auto"/>
        <w:rPr>
          <w:rFonts w:hint="default" w:ascii="Times New Roman" w:hAnsi="Times New Roman" w:eastAsia="仿宋_GB2312" w:cs="Times New Roman"/>
          <w:b w:val="0"/>
          <w:bCs w:val="0"/>
          <w:i w:val="0"/>
          <w:caps w:val="0"/>
          <w:color w:val="000000" w:themeColor="text1"/>
          <w:spacing w:val="6"/>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6"/>
          <w:kern w:val="2"/>
          <w:sz w:val="32"/>
          <w:szCs w:val="32"/>
          <w:shd w:val="clear" w:fill="FFFFFF"/>
          <w:lang w:val="en-US" w:eastAsia="zh-CN"/>
          <w14:textFill>
            <w14:solidFill>
              <w14:schemeClr w14:val="tx1"/>
            </w14:solidFill>
          </w14:textFill>
        </w:rPr>
        <w:t>（三）</w:t>
      </w:r>
      <w:r>
        <w:rPr>
          <w:rFonts w:hint="default" w:ascii="Times New Roman" w:hAnsi="Times New Roman" w:eastAsia="仿宋_GB2312" w:cs="Times New Roman"/>
          <w:b w:val="0"/>
          <w:bCs w:val="0"/>
          <w:i w:val="0"/>
          <w:caps w:val="0"/>
          <w:color w:val="000000" w:themeColor="text1"/>
          <w:spacing w:val="6"/>
          <w:sz w:val="32"/>
          <w:szCs w:val="32"/>
          <w:highlight w:val="none"/>
          <w:shd w:val="clear" w:color="auto" w:fill="FFFFFF"/>
          <w:lang w:val="en-US" w:eastAsia="zh-CN"/>
          <w14:textFill>
            <w14:solidFill>
              <w14:schemeClr w14:val="tx1"/>
            </w14:solidFill>
          </w14:textFill>
        </w:rPr>
        <w:t>落实声环境保护措施。该项目施工期应合理安排施工时间，采用低噪声、低振动的设备等，施工期场界噪声应符合《建筑施工场界环境噪声排放标准》(GB12523-2011)要求。该项目运营期应合理布局，采用低噪声设备，采取隔声、减振等措施，南侧厂界噪声应符合《工业企业厂界环境噪声排放标准》（GB12348-2008）中的4类标准要求，其余三侧厂界噪声应符合《工业企业厂界环境噪声排放标准》（GB12348-2008）中的3类标准要求。</w:t>
      </w:r>
    </w:p>
    <w:p w14:paraId="00A549EA">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firstLine="664" w:firstLineChars="200"/>
        <w:textAlignment w:val="auto"/>
        <w:rPr>
          <w:rFonts w:hint="default" w:ascii="Times New Roman" w:hAnsi="Times New Roman" w:eastAsia="仿宋_GB2312" w:cs="Times New Roman"/>
          <w:b w:val="0"/>
          <w:bCs w:val="0"/>
          <w:color w:val="000000" w:themeColor="text1"/>
          <w:spacing w:val="6"/>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32"/>
          <w:szCs w:val="32"/>
          <w:lang w:val="en-US" w:eastAsia="zh-CN"/>
          <w14:textFill>
            <w14:solidFill>
              <w14:schemeClr w14:val="tx1"/>
            </w14:solidFill>
          </w14:textFill>
        </w:rPr>
        <w:t>（四）</w:t>
      </w:r>
      <w:r>
        <w:rPr>
          <w:rFonts w:hint="default" w:ascii="Times New Roman" w:hAnsi="Times New Roman" w:eastAsia="仿宋_GB2312" w:cs="Times New Roman"/>
          <w:b w:val="0"/>
          <w:bCs w:val="0"/>
          <w:i w:val="0"/>
          <w:caps w:val="0"/>
          <w:color w:val="000000" w:themeColor="text1"/>
          <w:spacing w:val="6"/>
          <w:sz w:val="32"/>
          <w:szCs w:val="32"/>
          <w:highlight w:val="none"/>
          <w:shd w:val="clear" w:color="auto" w:fill="FFFFFF"/>
          <w:lang w:val="en-US" w:eastAsia="zh-CN"/>
          <w14:textFill>
            <w14:solidFill>
              <w14:schemeClr w14:val="tx1"/>
            </w14:solidFill>
          </w14:textFill>
        </w:rPr>
        <w:t>严格落实固体废物污染防治措施。该项目施工期施工产生的废料首先应考虑回收利用，建筑垃圾集中堆放，定时清运，送建筑废渣专用堆放场。施工人员生活垃圾集中收集后交由市政部门处理。</w:t>
      </w:r>
      <w:r>
        <w:rPr>
          <w:rFonts w:hint="default" w:ascii="Times New Roman" w:hAnsi="Times New Roman" w:eastAsia="仿宋_GB2312" w:cs="Times New Roman"/>
          <w:b w:val="0"/>
          <w:bCs w:val="0"/>
          <w:color w:val="000000" w:themeColor="text1"/>
          <w:spacing w:val="6"/>
          <w:sz w:val="32"/>
          <w:szCs w:val="32"/>
          <w:lang w:val="en-US" w:eastAsia="zh-CN"/>
          <w14:textFill>
            <w14:solidFill>
              <w14:schemeClr w14:val="tx1"/>
            </w14:solidFill>
          </w14:textFill>
        </w:rPr>
        <w:t>该项目运营期产生的热风炉除尘系统收尘、热风炉灰渣、筛分杂质装袋后统一收集，定期外售综合利用。废布袋由厂家更换时回收。</w:t>
      </w:r>
      <w:r>
        <w:rPr>
          <w:rFonts w:hint="default" w:ascii="Times New Roman" w:hAnsi="Times New Roman" w:eastAsia="仿宋_GB2312" w:cs="Times New Roman"/>
          <w:b w:val="0"/>
          <w:bCs w:val="0"/>
          <w:color w:val="000000"/>
          <w:spacing w:val="6"/>
          <w:sz w:val="32"/>
          <w:szCs w:val="32"/>
          <w:lang w:val="en-US" w:eastAsia="zh-CN"/>
        </w:rPr>
        <w:t>生活垃圾由市政环卫部门清运处置。</w:t>
      </w:r>
    </w:p>
    <w:p w14:paraId="4B101E6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76" w:lineRule="exact"/>
        <w:ind w:right="0" w:rightChars="0" w:firstLine="664" w:firstLineChars="200"/>
        <w:jc w:val="both"/>
        <w:textAlignment w:val="auto"/>
        <w:outlineLvl w:val="9"/>
        <w:rPr>
          <w:rFonts w:hint="default" w:ascii="Times New Roman" w:hAnsi="Times New Roman" w:eastAsia="仿宋_GB2312" w:cs="Times New Roman"/>
          <w:b w:val="0"/>
          <w:bCs w:val="0"/>
          <w:snapToGrid/>
          <w:color w:val="000000" w:themeColor="text1"/>
          <w:spacing w:val="6"/>
          <w:w w:val="100"/>
          <w:kern w:val="2"/>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6"/>
          <w:sz w:val="32"/>
          <w:szCs w:val="32"/>
          <w:highlight w:val="none"/>
          <w:u w:val="none"/>
          <w:lang w:val="en-US" w:eastAsia="zh-CN"/>
          <w14:textFill>
            <w14:solidFill>
              <w14:schemeClr w14:val="tx1"/>
            </w14:solidFill>
          </w14:textFill>
        </w:rPr>
        <w:t>（五）</w:t>
      </w:r>
      <w:r>
        <w:rPr>
          <w:rFonts w:hint="default" w:ascii="Times New Roman" w:hAnsi="Times New Roman" w:eastAsia="仿宋_GB2312" w:cs="Times New Roman"/>
          <w:b w:val="0"/>
          <w:bCs w:val="0"/>
          <w:snapToGrid/>
          <w:color w:val="000000" w:themeColor="text1"/>
          <w:spacing w:val="6"/>
          <w:w w:val="100"/>
          <w:kern w:val="2"/>
          <w:sz w:val="32"/>
          <w:szCs w:val="32"/>
          <w:highlight w:val="none"/>
          <w:u w:val="none"/>
          <w:lang w:val="en-US" w:eastAsia="zh-CN"/>
          <w14:textFill>
            <w14:solidFill>
              <w14:schemeClr w14:val="tx1"/>
            </w14:solidFill>
          </w14:textFill>
        </w:rPr>
        <w:t>总量控制。该项目排放颗粒物0.31吨/年、二氧化硫1.03吨/年、氮氧化物3.10吨/年。</w:t>
      </w:r>
    </w:p>
    <w:p w14:paraId="7B4314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该项目必须符合所在地城市总体规划或者国土空间规划以及生态环境分区管控等要求后方可开工建设。项目建设必须严格执行配套的环境保护设施与主体工程同时设计、同时施工、同时投产使用的“三同时”制度。项目竣工后，应按规定程序进行竣工环境保护验收。经验收合格后，方可正式投入运营。</w:t>
      </w:r>
    </w:p>
    <w:p w14:paraId="134BFA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四、环境影响报告表经批准后，该项目的性质、规模、地点、生产工艺和环境保护措施等发生重大变动，应当重新报批项目环境影响报告表。</w:t>
      </w:r>
    </w:p>
    <w:p w14:paraId="3CB6C3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五、在项目发生实际排污行为之前，按照经批准的环境影响评价文件认真梳理并落实各项环境保护措施，污染物排放清单及其他有关内容载入排污许可证，有机衔接环境影响评价与排污许可证，并按证排污。</w:t>
      </w:r>
    </w:p>
    <w:p w14:paraId="2E5B18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sz w:val="32"/>
          <w:szCs w:val="32"/>
          <w:lang w:val="en-US" w:eastAsia="zh-CN"/>
        </w:rPr>
        <w:t>六、宝清县生态环境保护综合执法队负责组织开展该项目的“三同时”监督检查和管理工作。</w:t>
      </w:r>
    </w:p>
    <w:p w14:paraId="59F26FBA">
      <w:pPr>
        <w:keepNext w:val="0"/>
        <w:keepLines w:val="0"/>
        <w:pageBreakBefore w:val="0"/>
        <w:kinsoku/>
        <w:wordWrap/>
        <w:overflowPunct/>
        <w:topLinePunct w:val="0"/>
        <w:autoSpaceDE/>
        <w:autoSpaceDN/>
        <w:bidi w:val="0"/>
        <w:adjustRightInd/>
        <w:snapToGrid/>
        <w:spacing w:line="576" w:lineRule="exact"/>
        <w:jc w:val="right"/>
        <w:textAlignment w:val="auto"/>
        <w:rPr>
          <w:rFonts w:hint="default" w:ascii="Times New Roman" w:hAnsi="Times New Roman" w:eastAsia="仿宋_GB2312" w:cs="Times New Roman"/>
          <w:bCs/>
          <w:color w:val="auto"/>
          <w:sz w:val="32"/>
          <w:szCs w:val="32"/>
        </w:rPr>
      </w:pPr>
    </w:p>
    <w:p w14:paraId="7610FAB8">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6242FE2A">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24EC2E42">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双鸭山市</w:t>
      </w:r>
      <w:r>
        <w:rPr>
          <w:rFonts w:hint="default" w:ascii="Times New Roman" w:hAnsi="Times New Roman" w:eastAsia="仿宋_GB2312" w:cs="Times New Roman"/>
          <w:sz w:val="32"/>
          <w:szCs w:val="32"/>
          <w:lang w:val="en-US" w:eastAsia="zh-CN"/>
        </w:rPr>
        <w:t>宝清生态环境</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val="en-US" w:eastAsia="zh-CN"/>
        </w:rPr>
        <w:t xml:space="preserve">                                       </w:t>
      </w:r>
    </w:p>
    <w:p w14:paraId="520D67DF">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14:paraId="0DD7CD18">
      <w:pPr>
        <w:bidi w:val="0"/>
        <w:jc w:val="center"/>
        <w:rPr>
          <w:rFonts w:hint="default" w:ascii="Times New Roman" w:hAnsi="Times New Roman" w:eastAsia="仿宋_GB2312" w:cs="Times New Roman"/>
          <w:sz w:val="32"/>
          <w:szCs w:val="32"/>
          <w:lang w:val="en-US" w:eastAsia="zh-CN"/>
        </w:rPr>
      </w:pPr>
    </w:p>
    <w:p w14:paraId="62209A31">
      <w:pPr>
        <w:bidi w:val="0"/>
        <w:jc w:val="center"/>
        <w:rPr>
          <w:rFonts w:hint="default" w:ascii="Times New Roman" w:hAnsi="Times New Roman" w:eastAsia="仿宋_GB2312" w:cs="Times New Roman"/>
          <w:sz w:val="32"/>
          <w:szCs w:val="32"/>
          <w:lang w:val="en-US" w:eastAsia="zh-CN"/>
        </w:rPr>
      </w:pPr>
    </w:p>
    <w:p w14:paraId="5AC36D15">
      <w:pPr>
        <w:bidi w:val="0"/>
        <w:jc w:val="center"/>
        <w:rPr>
          <w:rFonts w:hint="default" w:ascii="Times New Roman" w:hAnsi="Times New Roman" w:eastAsia="仿宋_GB2312" w:cs="Times New Roman"/>
          <w:sz w:val="32"/>
          <w:szCs w:val="32"/>
          <w:lang w:val="en-US" w:eastAsia="zh-CN"/>
        </w:rPr>
      </w:pPr>
    </w:p>
    <w:p w14:paraId="54315EF0">
      <w:pPr>
        <w:bidi w:val="0"/>
        <w:jc w:val="center"/>
        <w:rPr>
          <w:rFonts w:hint="default" w:ascii="Times New Roman" w:hAnsi="Times New Roman" w:eastAsia="仿宋_GB2312" w:cs="Times New Roman"/>
          <w:sz w:val="32"/>
          <w:szCs w:val="32"/>
          <w:lang w:val="en-US" w:eastAsia="zh-CN"/>
        </w:rPr>
      </w:pPr>
    </w:p>
    <w:p w14:paraId="37BFB590">
      <w:pPr>
        <w:pStyle w:val="2"/>
        <w:rPr>
          <w:rFonts w:hint="default" w:ascii="Times New Roman" w:hAnsi="Times New Roman" w:eastAsia="仿宋_GB2312" w:cs="Times New Roman"/>
          <w:sz w:val="32"/>
          <w:szCs w:val="32"/>
          <w:lang w:val="en-US" w:eastAsia="zh-CN"/>
        </w:rPr>
      </w:pPr>
    </w:p>
    <w:p w14:paraId="073DD57E">
      <w:pPr>
        <w:rPr>
          <w:rFonts w:hint="default" w:ascii="Times New Roman" w:hAnsi="Times New Roman" w:eastAsia="仿宋_GB2312" w:cs="Times New Roman"/>
          <w:sz w:val="32"/>
          <w:szCs w:val="32"/>
          <w:lang w:val="en-US" w:eastAsia="zh-CN"/>
        </w:rPr>
      </w:pPr>
    </w:p>
    <w:p w14:paraId="22B9D57B">
      <w:pPr>
        <w:pStyle w:val="2"/>
        <w:rPr>
          <w:rFonts w:hint="default" w:ascii="Times New Roman" w:hAnsi="Times New Roman" w:cs="Times New Roman"/>
          <w:lang w:val="en-US" w:eastAsia="zh-CN"/>
        </w:rPr>
      </w:pPr>
    </w:p>
    <w:tbl>
      <w:tblPr>
        <w:tblStyle w:val="6"/>
        <w:tblpPr w:leftFromText="180" w:rightFromText="180" w:vertAnchor="text" w:horzAnchor="page" w:tblpX="1344" w:tblpY="15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0"/>
      </w:tblGrid>
      <w:tr w14:paraId="522C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0" w:type="dxa"/>
            <w:tcBorders>
              <w:left w:val="nil"/>
              <w:right w:val="nil"/>
            </w:tcBorders>
            <w:noWrap w:val="0"/>
            <w:vAlign w:val="center"/>
          </w:tcPr>
          <w:p w14:paraId="52AD2CE0">
            <w:pPr>
              <w:bidi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双鸭山市</w:t>
            </w:r>
            <w:r>
              <w:rPr>
                <w:rFonts w:hint="default" w:ascii="Times New Roman" w:hAnsi="Times New Roman" w:eastAsia="仿宋_GB2312" w:cs="Times New Roman"/>
                <w:sz w:val="32"/>
                <w:szCs w:val="32"/>
                <w:lang w:val="en-US" w:eastAsia="zh-CN"/>
              </w:rPr>
              <w:t>宝清生态</w:t>
            </w:r>
            <w:r>
              <w:rPr>
                <w:rFonts w:hint="default" w:ascii="Times New Roman" w:hAnsi="Times New Roman" w:eastAsia="仿宋_GB2312" w:cs="Times New Roman"/>
                <w:sz w:val="32"/>
                <w:szCs w:val="32"/>
              </w:rPr>
              <w:t xml:space="preserve">环境局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rPr>
              <w:t>印发</w:t>
            </w:r>
          </w:p>
        </w:tc>
      </w:tr>
    </w:tbl>
    <w:p w14:paraId="03B167AE">
      <w:pPr>
        <w:bidi w:val="0"/>
        <w:jc w:val="both"/>
        <w:rPr>
          <w:rFonts w:hint="default" w:ascii="Times New Roman" w:hAnsi="Times New Roman" w:eastAsia="仿宋_GB2312" w:cs="Times New Roman"/>
          <w:sz w:val="32"/>
          <w:szCs w:val="32"/>
          <w:lang w:val="en-US" w:eastAsia="zh-CN"/>
        </w:rPr>
      </w:pPr>
    </w:p>
    <w:p w14:paraId="722672F2">
      <w:pPr>
        <w:bidi w:val="0"/>
        <w:jc w:val="both"/>
        <w:rPr>
          <w:rFonts w:hint="default" w:ascii="Times New Roman" w:hAnsi="Times New Roman" w:eastAsia="仿宋_GB2312" w:cs="Times New Roman"/>
          <w:sz w:val="32"/>
          <w:szCs w:val="32"/>
          <w:lang w:val="en-US" w:eastAsia="zh-CN"/>
        </w:rPr>
      </w:pPr>
    </w:p>
    <w:p w14:paraId="7928C9BF">
      <w:pPr>
        <w:bidi w:val="0"/>
        <w:jc w:val="righ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lang w:val="en-US" w:eastAsia="zh-CN"/>
        </w:rPr>
        <w:t>共印4份</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476D9"/>
    <w:multiLevelType w:val="singleLevel"/>
    <w:tmpl w:val="EA7476D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77997"/>
    <w:rsid w:val="05921EC7"/>
    <w:rsid w:val="088766C0"/>
    <w:rsid w:val="0D3500AF"/>
    <w:rsid w:val="179063B7"/>
    <w:rsid w:val="1842718C"/>
    <w:rsid w:val="18A11FE1"/>
    <w:rsid w:val="2CAF1FD7"/>
    <w:rsid w:val="302E2617"/>
    <w:rsid w:val="3BBD3BCC"/>
    <w:rsid w:val="403976F5"/>
    <w:rsid w:val="43C833F3"/>
    <w:rsid w:val="4DDF3E76"/>
    <w:rsid w:val="50F8401E"/>
    <w:rsid w:val="54DC2EBD"/>
    <w:rsid w:val="59A87A86"/>
    <w:rsid w:val="59DE3233"/>
    <w:rsid w:val="68952EC2"/>
    <w:rsid w:val="6FAE7F49"/>
    <w:rsid w:val="747F7695"/>
    <w:rsid w:val="783F5995"/>
    <w:rsid w:val="7BA46C4D"/>
    <w:rsid w:val="7CED5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sz w:val="21"/>
    </w:rPr>
  </w:style>
  <w:style w:type="paragraph" w:styleId="3">
    <w:name w:val="Body Text"/>
    <w:basedOn w:val="1"/>
    <w:next w:val="1"/>
    <w:unhideWhenUsed/>
    <w:qFormat/>
    <w:uiPriority w:val="99"/>
    <w:rPr>
      <w:rFonts w:ascii="宋体" w:hAnsi="宋体"/>
      <w:sz w:val="28"/>
    </w:rPr>
  </w:style>
  <w:style w:type="paragraph" w:styleId="4">
    <w:name w:val="Normal Indent"/>
    <w:basedOn w:val="1"/>
    <w:unhideWhenUsed/>
    <w:qFormat/>
    <w:uiPriority w:val="0"/>
    <w:pPr>
      <w:spacing w:line="560" w:lineRule="exact"/>
      <w:ind w:firstLine="200" w:firstLineChars="200"/>
    </w:pPr>
    <w:rPr>
      <w:rFonts w:hint="default" w:ascii="仿宋_GB2312" w:hAnsi="Calibri" w:eastAsia="仿宋_GB2312" w:cs="Times New Roman"/>
      <w:sz w:val="28"/>
      <w:szCs w:val="20"/>
    </w:rPr>
  </w:style>
  <w:style w:type="paragraph" w:styleId="5">
    <w:name w:val="Date"/>
    <w:basedOn w:val="1"/>
    <w:next w:val="1"/>
    <w:unhideWhenUsed/>
    <w:qFormat/>
    <w:uiPriority w:val="99"/>
    <w:pPr>
      <w:ind w:left="100" w:leftChars="2500"/>
    </w:pPr>
  </w:style>
  <w:style w:type="paragraph" w:customStyle="1" w:styleId="8">
    <w:name w:val="Default"/>
    <w:basedOn w:val="9"/>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10">
    <w:name w:val="四级标题"/>
    <w:basedOn w:val="5"/>
    <w:next w:val="4"/>
    <w:qFormat/>
    <w:uiPriority w:val="0"/>
    <w:rPr>
      <w:rFonts w:hint="eastAsia" w:ascii="Tms Rmn" w:hAnsi="Tms Rmn" w:eastAsia="黑体"/>
      <w:sz w:val="20"/>
    </w:rPr>
  </w:style>
  <w:style w:type="paragraph" w:customStyle="1" w:styleId="11">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935ae174-408a-454b-b374-4a82ee2b09b4</errorID>
      <errorWord>(</errorWord>
      <group>L1_Format</group>
      <groupName>格式问题</groupName>
      <ability>L2_HalfPunc</ability>
      <abilityName>全半角检查</abilityName>
      <candidateList>
        <item>（</item>
      </candidateList>
      <explain>文本全半角错误。</explain>
      <paraID> A35FB96</paraID>
      <start>69</start>
      <end>70</end>
      <status>unmodified</status>
      <modifiedWord/>
      <trackRevisions>false</trackRevisions>
    </reviewItem>
    <reviewItem>
      <errorID>fc79c7a6-2f32-4cec-94bd-109fc8d426cc</errorID>
      <errorWord>)</errorWord>
      <group>L1_Format</group>
      <groupName>格式问题</groupName>
      <ability>L2_HalfPunc</ability>
      <abilityName>全半角检查</abilityName>
      <candidateList>
        <item>）</item>
      </candidateList>
      <explain>文本全半角错误。</explain>
      <paraID> A35FB96</paraID>
      <start>82</start>
      <end>83</end>
      <status>unmodified</status>
      <modifiedWord/>
      <trackRevisions>false</trackRevisions>
    </reviewItem>
    <reviewItem>
      <errorID>8b262839-48a8-4b0e-91e7-83236a592a30</errorID>
      <errorWord>，</errorWord>
      <group>L1_Word</group>
      <groupName>字词问题</groupName>
      <ability>L2_Typo</ability>
      <abilityName>字词错误</abilityName>
      <candidateList>
        <item>，将</item>
      </candidateList>
      <explain/>
      <paraID>3CB6C32C</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8ab40c35-d1fd-4e12-a3a4-3bd7f0ddfaf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1460</Words>
  <Characters>1588</Characters>
  <Lines>0</Lines>
  <Paragraphs>0</Paragraphs>
  <TotalTime>0</TotalTime>
  <ScaleCrop>false</ScaleCrop>
  <LinksUpToDate>false</LinksUpToDate>
  <CharactersWithSpaces>1732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2025-10-30T08:32:00Z</dcterms:created>
  <dc:creator>admin</dc:creator>
  <cp:lastModifiedBy>那些花儿</cp:lastModifiedBy>
  <dcterms:modified xsi:type="dcterms:W3CDTF">2025-11-11T06:23:59Z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eyJoZGlkIjoiMWUzYWE1ZWUyNWZiMzQ5Y2IwMDgxZjc5ZWFlNTNmZWYiLCJ1c2VySWQiOiI1NzYxMjIzNTQifQ==</vt:lpwstr>
  </property>
  <property fmtid="{D5CDD505-2E9C-101B-9397-08002B2CF9AE}" pid="4" name="ICV">
    <vt:lpwstr>D4DE2883F5D34A078CFB8DD0A3D09F68_13</vt:lpwstr>
  </property>
</Properties>
</file>